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</w:t>
      </w:r>
      <w:r w:rsidR="00817410">
        <w:t>alado, sin</w:t>
      </w:r>
      <w:r w:rsidR="006F2407">
        <w:t xml:space="preserve"> embargo, en el CUARTO</w:t>
      </w:r>
      <w:r w:rsidRPr="000E7D2C">
        <w:t xml:space="preserve"> trimestre del año 2016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410DF9" w:rsidRDefault="00410DF9" w:rsidP="000E7D2C">
      <w:pPr>
        <w:jc w:val="center"/>
      </w:pPr>
      <w:r w:rsidRPr="00410DF9">
        <w:t>Se emite la presente nota en atención al periodo de actualización de esta fracción establecido en los Lineamientos Técnicos Generales en la materia.</w:t>
      </w:r>
    </w:p>
    <w:sectPr w:rsidR="00410D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01679"/>
    <w:rsid w:val="000E7D2C"/>
    <w:rsid w:val="00410DF9"/>
    <w:rsid w:val="00440EF2"/>
    <w:rsid w:val="006F2407"/>
    <w:rsid w:val="00817410"/>
    <w:rsid w:val="008E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2019-07-11T16:32:00Z</dcterms:created>
  <dcterms:modified xsi:type="dcterms:W3CDTF">2019-07-11T16:32:00Z</dcterms:modified>
</cp:coreProperties>
</file>